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B5" w:rsidRPr="00BC68B5" w:rsidRDefault="00BC68B5" w:rsidP="00BC68B5">
      <w:pPr>
        <w:shd w:val="clear" w:color="auto" w:fill="FFFFFF"/>
        <w:bidi/>
        <w:spacing w:after="0" w:line="240" w:lineRule="auto"/>
        <w:outlineLvl w:val="0"/>
        <w:rPr>
          <w:rFonts w:asciiTheme="majorBidi" w:eastAsia="Times New Roman" w:hAnsiTheme="majorBidi" w:cstheme="majorBidi"/>
          <w:b/>
          <w:bCs/>
          <w:color w:val="003D7C"/>
          <w:kern w:val="36"/>
          <w:sz w:val="28"/>
          <w:szCs w:val="28"/>
          <w:lang w:eastAsia="fr-FR"/>
        </w:rPr>
      </w:pPr>
      <w:proofErr w:type="spellStart"/>
      <w:r w:rsidRPr="00BC68B5">
        <w:rPr>
          <w:rFonts w:asciiTheme="majorBidi" w:eastAsia="Times New Roman" w:hAnsiTheme="majorBidi" w:cstheme="majorBidi"/>
          <w:b/>
          <w:bCs/>
          <w:color w:val="003D7C"/>
          <w:kern w:val="36"/>
          <w:sz w:val="28"/>
          <w:szCs w:val="28"/>
          <w:rtl/>
          <w:lang w:eastAsia="fr-FR"/>
        </w:rPr>
        <w:t>القراررقم</w:t>
      </w:r>
      <w:proofErr w:type="spellEnd"/>
      <w:r w:rsidRPr="00BC68B5">
        <w:rPr>
          <w:rFonts w:asciiTheme="majorBidi" w:eastAsia="Times New Roman" w:hAnsiTheme="majorBidi" w:cstheme="majorBidi"/>
          <w:b/>
          <w:bCs/>
          <w:color w:val="003D7C"/>
          <w:kern w:val="36"/>
          <w:sz w:val="28"/>
          <w:szCs w:val="28"/>
          <w:rtl/>
          <w:lang w:eastAsia="fr-FR"/>
        </w:rPr>
        <w:t xml:space="preserve"> 1064516 الصادر بتاريخ 15-06-2017</w:t>
      </w:r>
    </w:p>
    <w:p w:rsidR="00BC68B5" w:rsidRPr="00BC68B5" w:rsidRDefault="00BC68B5" w:rsidP="00BC68B5">
      <w:pPr>
        <w:shd w:val="clear" w:color="auto" w:fill="FFFFFF"/>
        <w:bidi/>
        <w:spacing w:before="100" w:beforeAutospacing="1" w:after="120" w:line="240" w:lineRule="auto"/>
        <w:ind w:left="-630"/>
        <w:jc w:val="both"/>
        <w:rPr>
          <w:rFonts w:asciiTheme="majorBidi" w:eastAsia="Times New Roman" w:hAnsiTheme="majorBidi" w:cstheme="majorBidi"/>
          <w:color w:val="6B7589"/>
          <w:sz w:val="28"/>
          <w:szCs w:val="28"/>
          <w:lang w:eastAsia="fr-FR"/>
        </w:rPr>
      </w:pPr>
      <w:r w:rsidRPr="00BC68B5">
        <w:rPr>
          <w:rFonts w:asciiTheme="majorBidi" w:eastAsia="Times New Roman" w:hAnsiTheme="majorBidi" w:cstheme="majorBidi"/>
          <w:b/>
          <w:bCs/>
          <w:color w:val="343A4C"/>
          <w:sz w:val="28"/>
          <w:szCs w:val="28"/>
          <w:rtl/>
          <w:lang w:eastAsia="fr-FR"/>
        </w:rPr>
        <w:t>رقم القرار:  1064516</w:t>
      </w:r>
    </w:p>
    <w:p w:rsidR="00BC68B5" w:rsidRPr="00BC68B5" w:rsidRDefault="00BC68B5" w:rsidP="00BC68B5">
      <w:pPr>
        <w:shd w:val="clear" w:color="auto" w:fill="FFFFFF"/>
        <w:bidi/>
        <w:spacing w:before="100" w:beforeAutospacing="1" w:after="120" w:line="240" w:lineRule="auto"/>
        <w:ind w:left="-630"/>
        <w:jc w:val="both"/>
        <w:rPr>
          <w:rFonts w:asciiTheme="majorBidi" w:eastAsia="Times New Roman" w:hAnsiTheme="majorBidi" w:cstheme="majorBidi"/>
          <w:color w:val="6B7589"/>
          <w:sz w:val="28"/>
          <w:szCs w:val="28"/>
          <w:lang w:eastAsia="fr-FR"/>
        </w:rPr>
      </w:pPr>
      <w:proofErr w:type="gramStart"/>
      <w:r w:rsidRPr="00BC68B5">
        <w:rPr>
          <w:rFonts w:asciiTheme="majorBidi" w:eastAsia="Times New Roman" w:hAnsiTheme="majorBidi" w:cstheme="majorBidi"/>
          <w:b/>
          <w:bCs/>
          <w:color w:val="343A4C"/>
          <w:sz w:val="28"/>
          <w:szCs w:val="28"/>
          <w:rtl/>
          <w:lang w:eastAsia="fr-FR"/>
        </w:rPr>
        <w:t>تاريخ</w:t>
      </w:r>
      <w:proofErr w:type="gramEnd"/>
      <w:r w:rsidRPr="00BC68B5">
        <w:rPr>
          <w:rFonts w:asciiTheme="majorBidi" w:eastAsia="Times New Roman" w:hAnsiTheme="majorBidi" w:cstheme="majorBidi"/>
          <w:b/>
          <w:bCs/>
          <w:color w:val="343A4C"/>
          <w:sz w:val="28"/>
          <w:szCs w:val="28"/>
          <w:rtl/>
          <w:lang w:eastAsia="fr-FR"/>
        </w:rPr>
        <w:t xml:space="preserve"> القرار: 2017/06/15</w:t>
      </w:r>
    </w:p>
    <w:p w:rsidR="00BC68B5" w:rsidRPr="00BC68B5" w:rsidRDefault="00BC68B5" w:rsidP="00BC68B5">
      <w:pPr>
        <w:shd w:val="clear" w:color="auto" w:fill="FFFFFF"/>
        <w:bidi/>
        <w:spacing w:before="100" w:beforeAutospacing="1" w:after="120" w:line="240" w:lineRule="auto"/>
        <w:ind w:left="-630"/>
        <w:jc w:val="both"/>
        <w:rPr>
          <w:rFonts w:asciiTheme="majorBidi" w:eastAsia="Times New Roman" w:hAnsiTheme="majorBidi" w:cstheme="majorBidi"/>
          <w:color w:val="6B7589"/>
          <w:sz w:val="28"/>
          <w:szCs w:val="28"/>
          <w:lang w:eastAsia="fr-FR"/>
        </w:rPr>
      </w:pPr>
      <w:proofErr w:type="gramStart"/>
      <w:r w:rsidRPr="00BC68B5">
        <w:rPr>
          <w:rFonts w:asciiTheme="majorBidi" w:eastAsia="Times New Roman" w:hAnsiTheme="majorBidi" w:cstheme="majorBidi"/>
          <w:b/>
          <w:bCs/>
          <w:color w:val="343A4C"/>
          <w:sz w:val="28"/>
          <w:szCs w:val="28"/>
          <w:rtl/>
          <w:lang w:eastAsia="fr-FR"/>
        </w:rPr>
        <w:t>الموضوع</w:t>
      </w:r>
      <w:proofErr w:type="gramEnd"/>
      <w:r w:rsidRPr="00BC68B5">
        <w:rPr>
          <w:rFonts w:asciiTheme="majorBidi" w:eastAsia="Times New Roman" w:hAnsiTheme="majorBidi" w:cstheme="majorBidi"/>
          <w:b/>
          <w:bCs/>
          <w:color w:val="343A4C"/>
          <w:sz w:val="28"/>
          <w:szCs w:val="28"/>
          <w:rtl/>
          <w:lang w:eastAsia="fr-FR"/>
        </w:rPr>
        <w:t>: شفعة</w:t>
      </w:r>
    </w:p>
    <w:p w:rsidR="00BC68B5" w:rsidRPr="00BC68B5" w:rsidRDefault="00BC68B5" w:rsidP="00BC68B5">
      <w:pPr>
        <w:shd w:val="clear" w:color="auto" w:fill="FFFFFF"/>
        <w:bidi/>
        <w:spacing w:before="100" w:beforeAutospacing="1" w:after="120" w:line="240" w:lineRule="auto"/>
        <w:ind w:left="-630"/>
        <w:jc w:val="both"/>
        <w:rPr>
          <w:rFonts w:asciiTheme="majorBidi" w:eastAsia="Times New Roman" w:hAnsiTheme="majorBidi" w:cstheme="majorBidi"/>
          <w:color w:val="6B7589"/>
          <w:sz w:val="28"/>
          <w:szCs w:val="28"/>
          <w:lang w:eastAsia="fr-FR"/>
        </w:rPr>
      </w:pPr>
      <w:proofErr w:type="gramStart"/>
      <w:r w:rsidRPr="00BC68B5">
        <w:rPr>
          <w:rFonts w:asciiTheme="majorBidi" w:eastAsia="Times New Roman" w:hAnsiTheme="majorBidi" w:cstheme="majorBidi"/>
          <w:b/>
          <w:bCs/>
          <w:color w:val="343A4C"/>
          <w:sz w:val="28"/>
          <w:szCs w:val="28"/>
          <w:rtl/>
          <w:lang w:eastAsia="fr-FR"/>
        </w:rPr>
        <w:t>الأطراف</w:t>
      </w:r>
      <w:proofErr w:type="gramEnd"/>
      <w:r w:rsidRPr="00BC68B5">
        <w:rPr>
          <w:rFonts w:asciiTheme="majorBidi" w:eastAsia="Times New Roman" w:hAnsiTheme="majorBidi" w:cstheme="majorBidi"/>
          <w:b/>
          <w:bCs/>
          <w:color w:val="343A4C"/>
          <w:sz w:val="28"/>
          <w:szCs w:val="28"/>
          <w:rtl/>
          <w:lang w:eastAsia="fr-FR"/>
        </w:rPr>
        <w:t>:الطاعن: الطاعن: ( ا.ا ) / المطعون ضده: ( ر.ق ) ومن معه</w:t>
      </w:r>
    </w:p>
    <w:p w:rsidR="00BC68B5" w:rsidRPr="00BC68B5" w:rsidRDefault="00BC68B5" w:rsidP="00BC68B5">
      <w:pPr>
        <w:shd w:val="clear" w:color="auto" w:fill="FFFFFF"/>
        <w:bidi/>
        <w:spacing w:before="100" w:beforeAutospacing="1" w:after="120" w:line="240" w:lineRule="auto"/>
        <w:ind w:left="-630"/>
        <w:jc w:val="both"/>
        <w:rPr>
          <w:rFonts w:asciiTheme="majorBidi" w:eastAsia="Times New Roman" w:hAnsiTheme="majorBidi" w:cstheme="majorBidi"/>
          <w:color w:val="6B7589"/>
          <w:sz w:val="28"/>
          <w:szCs w:val="28"/>
          <w:lang w:eastAsia="fr-FR"/>
        </w:rPr>
      </w:pPr>
      <w:proofErr w:type="gramStart"/>
      <w:r w:rsidRPr="00BC68B5">
        <w:rPr>
          <w:rFonts w:asciiTheme="majorBidi" w:eastAsia="Times New Roman" w:hAnsiTheme="majorBidi" w:cstheme="majorBidi"/>
          <w:b/>
          <w:bCs/>
          <w:color w:val="343A4C"/>
          <w:sz w:val="28"/>
          <w:szCs w:val="28"/>
          <w:u w:val="single"/>
          <w:rtl/>
          <w:lang w:eastAsia="fr-FR"/>
        </w:rPr>
        <w:t>الكلمات</w:t>
      </w:r>
      <w:proofErr w:type="gramEnd"/>
      <w:r w:rsidRPr="00BC68B5">
        <w:rPr>
          <w:rFonts w:asciiTheme="majorBidi" w:eastAsia="Times New Roman" w:hAnsiTheme="majorBidi" w:cstheme="majorBidi"/>
          <w:b/>
          <w:bCs/>
          <w:color w:val="343A4C"/>
          <w:sz w:val="28"/>
          <w:szCs w:val="28"/>
          <w:u w:val="single"/>
          <w:rtl/>
          <w:lang w:eastAsia="fr-FR"/>
        </w:rPr>
        <w:t xml:space="preserve"> الأساسية</w:t>
      </w:r>
      <w:r>
        <w:rPr>
          <w:rFonts w:asciiTheme="majorBidi" w:eastAsia="Times New Roman" w:hAnsiTheme="majorBidi" w:cstheme="majorBidi"/>
          <w:b/>
          <w:bCs/>
          <w:color w:val="343A4C"/>
          <w:sz w:val="28"/>
          <w:szCs w:val="28"/>
          <w:rtl/>
          <w:lang w:eastAsia="fr-FR"/>
        </w:rPr>
        <w:t>:</w:t>
      </w:r>
      <w:r w:rsidRPr="00BC68B5">
        <w:rPr>
          <w:rFonts w:asciiTheme="majorBidi" w:eastAsia="Times New Roman" w:hAnsiTheme="majorBidi" w:cstheme="majorBidi"/>
          <w:color w:val="343A4C"/>
          <w:sz w:val="28"/>
          <w:szCs w:val="28"/>
          <w:rtl/>
          <w:lang w:eastAsia="fr-FR"/>
        </w:rPr>
        <w:t>ثبوت</w:t>
      </w:r>
      <w:r w:rsidRPr="00BC68B5">
        <w:rPr>
          <w:rFonts w:asciiTheme="majorBidi" w:eastAsia="Times New Roman" w:hAnsiTheme="majorBidi" w:cstheme="majorBidi" w:hint="cs"/>
          <w:color w:val="343A4C"/>
          <w:sz w:val="28"/>
          <w:szCs w:val="28"/>
          <w:rtl/>
          <w:lang w:eastAsia="fr-FR"/>
        </w:rPr>
        <w:t xml:space="preserve"> </w:t>
      </w:r>
      <w:r w:rsidRPr="00BC68B5">
        <w:rPr>
          <w:rFonts w:asciiTheme="majorBidi" w:eastAsia="Times New Roman" w:hAnsiTheme="majorBidi" w:cstheme="majorBidi"/>
          <w:color w:val="343A4C"/>
          <w:sz w:val="28"/>
          <w:szCs w:val="28"/>
          <w:rtl/>
          <w:lang w:eastAsia="fr-FR"/>
        </w:rPr>
        <w:t>الشفعة، حكم ابتدائي نهائي، سند ملكية</w:t>
      </w:r>
      <w:r w:rsidRPr="00BC68B5">
        <w:rPr>
          <w:rFonts w:asciiTheme="majorBidi" w:eastAsia="Times New Roman" w:hAnsiTheme="majorBidi" w:cstheme="majorBidi"/>
          <w:color w:val="343A4C"/>
          <w:sz w:val="28"/>
          <w:szCs w:val="28"/>
          <w:lang w:eastAsia="fr-FR"/>
        </w:rPr>
        <w:t>.</w:t>
      </w:r>
      <w:r w:rsidRPr="00BC68B5">
        <w:rPr>
          <w:rFonts w:asciiTheme="majorBidi" w:eastAsia="Times New Roman" w:hAnsiTheme="majorBidi" w:cstheme="majorBidi"/>
          <w:color w:val="343A4C"/>
          <w:sz w:val="28"/>
          <w:szCs w:val="28"/>
          <w:lang w:eastAsia="fr-FR"/>
        </w:rPr>
        <w:br/>
        <w:t xml:space="preserve">) </w:t>
      </w:r>
      <w:r w:rsidRPr="00BC68B5">
        <w:rPr>
          <w:rFonts w:asciiTheme="majorBidi" w:eastAsia="Times New Roman" w:hAnsiTheme="majorBidi" w:cstheme="majorBidi"/>
          <w:color w:val="343A4C"/>
          <w:sz w:val="28"/>
          <w:szCs w:val="28"/>
          <w:rtl/>
          <w:lang w:eastAsia="fr-FR"/>
        </w:rPr>
        <w:t>ميعاد مفتوح، إنذار الشفيع، شهر العقد</w:t>
      </w:r>
      <w:r w:rsidRPr="00BC68B5">
        <w:rPr>
          <w:rFonts w:asciiTheme="majorBidi" w:eastAsia="Times New Roman" w:hAnsiTheme="majorBidi" w:cstheme="majorBidi"/>
          <w:color w:val="343A4C"/>
          <w:sz w:val="28"/>
          <w:szCs w:val="28"/>
          <w:lang w:eastAsia="fr-FR"/>
        </w:rPr>
        <w:t>.</w:t>
      </w:r>
    </w:p>
    <w:p w:rsidR="00BC68B5" w:rsidRPr="00BC68B5" w:rsidRDefault="00BC68B5" w:rsidP="00BC68B5">
      <w:pPr>
        <w:shd w:val="clear" w:color="auto" w:fill="FFFFFF"/>
        <w:bidi/>
        <w:spacing w:before="100" w:beforeAutospacing="1" w:after="0" w:line="240" w:lineRule="auto"/>
        <w:ind w:left="-630"/>
        <w:jc w:val="both"/>
        <w:rPr>
          <w:rFonts w:asciiTheme="majorBidi" w:eastAsia="Times New Roman" w:hAnsiTheme="majorBidi" w:cstheme="majorBidi"/>
          <w:color w:val="6B7589"/>
          <w:sz w:val="28"/>
          <w:szCs w:val="28"/>
          <w:lang w:eastAsia="fr-FR"/>
        </w:rPr>
      </w:pPr>
      <w:proofErr w:type="gramStart"/>
      <w:r w:rsidRPr="00BC68B5">
        <w:rPr>
          <w:rFonts w:asciiTheme="majorBidi" w:eastAsia="Times New Roman" w:hAnsiTheme="majorBidi" w:cstheme="majorBidi"/>
          <w:b/>
          <w:bCs/>
          <w:color w:val="343A4C"/>
          <w:sz w:val="28"/>
          <w:szCs w:val="28"/>
          <w:u w:val="single"/>
          <w:rtl/>
          <w:lang w:eastAsia="fr-FR"/>
        </w:rPr>
        <w:t>المرجع</w:t>
      </w:r>
      <w:proofErr w:type="gramEnd"/>
      <w:r w:rsidRPr="00BC68B5">
        <w:rPr>
          <w:rFonts w:asciiTheme="majorBidi" w:eastAsia="Times New Roman" w:hAnsiTheme="majorBidi" w:cstheme="majorBidi"/>
          <w:b/>
          <w:bCs/>
          <w:color w:val="343A4C"/>
          <w:sz w:val="28"/>
          <w:szCs w:val="28"/>
          <w:u w:val="single"/>
          <w:rtl/>
          <w:lang w:eastAsia="fr-FR"/>
        </w:rPr>
        <w:t xml:space="preserve"> القانوني</w:t>
      </w:r>
      <w:r w:rsidRPr="00BC68B5">
        <w:rPr>
          <w:rFonts w:asciiTheme="majorBidi" w:eastAsia="Times New Roman" w:hAnsiTheme="majorBidi" w:cstheme="majorBidi"/>
          <w:b/>
          <w:bCs/>
          <w:color w:val="343A4C"/>
          <w:sz w:val="28"/>
          <w:szCs w:val="28"/>
          <w:rtl/>
          <w:lang w:eastAsia="fr-FR"/>
        </w:rPr>
        <w:t xml:space="preserve">: </w:t>
      </w:r>
      <w:r w:rsidRPr="00BC68B5">
        <w:rPr>
          <w:rFonts w:asciiTheme="majorBidi" w:eastAsia="Times New Roman" w:hAnsiTheme="majorBidi" w:cstheme="majorBidi"/>
          <w:color w:val="343A4C"/>
          <w:sz w:val="28"/>
          <w:szCs w:val="28"/>
          <w:rtl/>
          <w:lang w:eastAsia="fr-FR"/>
        </w:rPr>
        <w:t>المادة 803 من القانون المدني</w:t>
      </w:r>
      <w:r w:rsidRPr="00BC68B5">
        <w:rPr>
          <w:rFonts w:asciiTheme="majorBidi" w:eastAsia="Times New Roman" w:hAnsiTheme="majorBidi" w:cstheme="majorBidi"/>
          <w:color w:val="343A4C"/>
          <w:sz w:val="28"/>
          <w:szCs w:val="28"/>
          <w:lang w:eastAsia="fr-FR"/>
        </w:rPr>
        <w:t>.</w:t>
      </w:r>
      <w:r w:rsidRPr="00BC68B5">
        <w:rPr>
          <w:rFonts w:asciiTheme="majorBidi" w:eastAsia="Times New Roman" w:hAnsiTheme="majorBidi" w:cstheme="majorBidi"/>
          <w:color w:val="343A4C"/>
          <w:sz w:val="28"/>
          <w:szCs w:val="28"/>
          <w:lang w:eastAsia="fr-FR"/>
        </w:rPr>
        <w:br/>
      </w:r>
      <w:r w:rsidRPr="00BC68B5">
        <w:rPr>
          <w:rFonts w:asciiTheme="majorBidi" w:eastAsia="Times New Roman" w:hAnsiTheme="majorBidi" w:cstheme="majorBidi"/>
          <w:color w:val="343A4C"/>
          <w:sz w:val="28"/>
          <w:szCs w:val="28"/>
          <w:rtl/>
          <w:lang w:eastAsia="fr-FR"/>
        </w:rPr>
        <w:t>المادة 799 من القانون المدني</w:t>
      </w:r>
      <w:r w:rsidRPr="00BC68B5">
        <w:rPr>
          <w:rFonts w:asciiTheme="majorBidi" w:eastAsia="Times New Roman" w:hAnsiTheme="majorBidi" w:cstheme="majorBidi"/>
          <w:b/>
          <w:bCs/>
          <w:color w:val="343A4C"/>
          <w:sz w:val="28"/>
          <w:szCs w:val="28"/>
          <w:lang w:eastAsia="fr-FR"/>
        </w:rPr>
        <w:t>          </w:t>
      </w:r>
    </w:p>
    <w:p w:rsidR="00BC68B5" w:rsidRDefault="00BC68B5" w:rsidP="00BC68B5">
      <w:pPr>
        <w:shd w:val="clear" w:color="auto" w:fill="FFFFFF"/>
        <w:bidi/>
        <w:spacing w:before="120" w:after="120" w:line="450" w:lineRule="atLeast"/>
        <w:ind w:left="-630"/>
        <w:jc w:val="both"/>
        <w:outlineLvl w:val="4"/>
        <w:rPr>
          <w:rFonts w:asciiTheme="majorBidi" w:eastAsia="Times New Roman" w:hAnsiTheme="majorBidi" w:cstheme="majorBidi" w:hint="cs"/>
          <w:b/>
          <w:bCs/>
          <w:caps/>
          <w:color w:val="343A4C"/>
          <w:sz w:val="28"/>
          <w:szCs w:val="28"/>
          <w:rtl/>
          <w:lang w:eastAsia="fr-FR" w:bidi="ar-DZ"/>
        </w:rPr>
      </w:pPr>
      <w:proofErr w:type="gramStart"/>
      <w:r w:rsidRPr="00BC68B5">
        <w:rPr>
          <w:rFonts w:asciiTheme="majorBidi" w:eastAsia="Times New Roman" w:hAnsiTheme="majorBidi" w:cstheme="majorBidi"/>
          <w:b/>
          <w:bCs/>
          <w:caps/>
          <w:color w:val="343A4C"/>
          <w:sz w:val="28"/>
          <w:szCs w:val="28"/>
          <w:rtl/>
          <w:lang w:eastAsia="fr-FR"/>
        </w:rPr>
        <w:t>المبدأ</w:t>
      </w:r>
      <w:proofErr w:type="gramEnd"/>
      <w:r w:rsidRPr="00BC68B5">
        <w:rPr>
          <w:rFonts w:asciiTheme="majorBidi" w:eastAsia="Times New Roman" w:hAnsiTheme="majorBidi" w:cstheme="majorBidi"/>
          <w:b/>
          <w:bCs/>
          <w:caps/>
          <w:color w:val="343A4C"/>
          <w:sz w:val="28"/>
          <w:szCs w:val="28"/>
          <w:lang w:eastAsia="fr-FR"/>
        </w:rPr>
        <w:t>:</w:t>
      </w:r>
    </w:p>
    <w:p w:rsidR="00BC68B5" w:rsidRDefault="00BC68B5" w:rsidP="00BC68B5">
      <w:pPr>
        <w:shd w:val="clear" w:color="auto" w:fill="FFFFFF"/>
        <w:bidi/>
        <w:spacing w:before="120" w:after="120" w:line="450" w:lineRule="atLeast"/>
        <w:ind w:left="-630"/>
        <w:jc w:val="both"/>
        <w:outlineLvl w:val="4"/>
        <w:rPr>
          <w:rFonts w:asciiTheme="majorBidi" w:eastAsia="Times New Roman" w:hAnsiTheme="majorBidi" w:cstheme="majorBidi" w:hint="cs"/>
          <w:color w:val="6B7589"/>
          <w:sz w:val="28"/>
          <w:szCs w:val="28"/>
          <w:rtl/>
          <w:lang w:eastAsia="fr-FR"/>
        </w:rPr>
      </w:pPr>
      <w:r>
        <w:rPr>
          <w:rFonts w:asciiTheme="majorBidi" w:eastAsia="Times New Roman" w:hAnsiTheme="majorBidi" w:cstheme="majorBidi" w:hint="cs"/>
          <w:color w:val="6B7589"/>
          <w:sz w:val="28"/>
          <w:szCs w:val="28"/>
          <w:rtl/>
          <w:lang w:eastAsia="fr-FR"/>
        </w:rPr>
        <w:t xml:space="preserve">1- </w:t>
      </w:r>
      <w:r w:rsidRPr="00BC68B5">
        <w:rPr>
          <w:rFonts w:asciiTheme="majorBidi" w:eastAsia="Times New Roman" w:hAnsiTheme="majorBidi" w:cstheme="majorBidi"/>
          <w:color w:val="6B7589"/>
          <w:sz w:val="28"/>
          <w:szCs w:val="28"/>
          <w:rtl/>
          <w:lang w:eastAsia="fr-FR"/>
        </w:rPr>
        <w:t xml:space="preserve">يصدر الحكم بثبوت الشفعة ابتدائيا نهائيا و </w:t>
      </w:r>
      <w:proofErr w:type="gramStart"/>
      <w:r w:rsidRPr="00BC68B5">
        <w:rPr>
          <w:rFonts w:asciiTheme="majorBidi" w:eastAsia="Times New Roman" w:hAnsiTheme="majorBidi" w:cstheme="majorBidi"/>
          <w:color w:val="6B7589"/>
          <w:sz w:val="28"/>
          <w:szCs w:val="28"/>
          <w:rtl/>
          <w:lang w:eastAsia="fr-FR"/>
        </w:rPr>
        <w:t>يكون</w:t>
      </w:r>
      <w:proofErr w:type="gramEnd"/>
      <w:r w:rsidRPr="00BC68B5">
        <w:rPr>
          <w:rFonts w:asciiTheme="majorBidi" w:eastAsia="Times New Roman" w:hAnsiTheme="majorBidi" w:cstheme="majorBidi"/>
          <w:color w:val="6B7589"/>
          <w:sz w:val="28"/>
          <w:szCs w:val="28"/>
          <w:rtl/>
          <w:lang w:eastAsia="fr-FR"/>
        </w:rPr>
        <w:t xml:space="preserve"> سندا للملكية</w:t>
      </w:r>
      <w:r w:rsidRPr="00BC68B5">
        <w:rPr>
          <w:rFonts w:asciiTheme="majorBidi" w:eastAsia="Times New Roman" w:hAnsiTheme="majorBidi" w:cstheme="majorBidi"/>
          <w:color w:val="6B7589"/>
          <w:sz w:val="28"/>
          <w:szCs w:val="28"/>
          <w:lang w:eastAsia="fr-FR"/>
        </w:rPr>
        <w:t>.</w:t>
      </w:r>
    </w:p>
    <w:p w:rsidR="00BC68B5" w:rsidRPr="00BC68B5" w:rsidRDefault="00BC68B5" w:rsidP="00BC68B5">
      <w:pPr>
        <w:shd w:val="clear" w:color="auto" w:fill="FFFFFF"/>
        <w:bidi/>
        <w:spacing w:before="120" w:after="120" w:line="450" w:lineRule="atLeast"/>
        <w:ind w:left="-630"/>
        <w:jc w:val="both"/>
        <w:outlineLvl w:val="4"/>
        <w:rPr>
          <w:rFonts w:asciiTheme="majorBidi" w:eastAsia="Times New Roman" w:hAnsiTheme="majorBidi" w:cstheme="majorBidi"/>
          <w:b/>
          <w:bCs/>
          <w:caps/>
          <w:color w:val="343A4C"/>
          <w:sz w:val="28"/>
          <w:szCs w:val="28"/>
          <w:lang w:eastAsia="fr-FR"/>
        </w:rPr>
      </w:pPr>
      <w:r>
        <w:rPr>
          <w:rFonts w:asciiTheme="majorBidi" w:eastAsia="Times New Roman" w:hAnsiTheme="majorBidi" w:cstheme="majorBidi" w:hint="cs"/>
          <w:color w:val="6B7589"/>
          <w:sz w:val="28"/>
          <w:szCs w:val="28"/>
          <w:rtl/>
          <w:lang w:eastAsia="fr-FR"/>
        </w:rPr>
        <w:t>2-</w:t>
      </w:r>
      <w:r w:rsidRPr="00BC68B5">
        <w:rPr>
          <w:rFonts w:asciiTheme="majorBidi" w:eastAsia="Times New Roman" w:hAnsiTheme="majorBidi" w:cstheme="majorBidi"/>
          <w:color w:val="6B7589"/>
          <w:sz w:val="28"/>
          <w:szCs w:val="28"/>
          <w:lang w:eastAsia="fr-FR"/>
        </w:rPr>
        <w:t xml:space="preserve"> </w:t>
      </w:r>
      <w:r w:rsidRPr="00BC68B5">
        <w:rPr>
          <w:rFonts w:asciiTheme="majorBidi" w:eastAsia="Times New Roman" w:hAnsiTheme="majorBidi" w:cstheme="majorBidi"/>
          <w:color w:val="6B7589"/>
          <w:sz w:val="28"/>
          <w:szCs w:val="28"/>
          <w:rtl/>
          <w:lang w:eastAsia="fr-FR"/>
        </w:rPr>
        <w:t>تبقى المواعيد مفتوحة في دعوى الأخذ بالشفعة ، إذا لم يقم البائع أو المشتري بإنذار الشفيع ، وعليه يستطيع الشفيع أن يمارس حقه في الشفعة في أي وقت يريد و يشاء</w:t>
      </w:r>
      <w:r>
        <w:rPr>
          <w:rFonts w:asciiTheme="majorBidi" w:eastAsia="Times New Roman" w:hAnsiTheme="majorBidi" w:cstheme="majorBidi"/>
          <w:color w:val="6B7589"/>
          <w:sz w:val="28"/>
          <w:szCs w:val="28"/>
          <w:lang w:eastAsia="fr-FR"/>
        </w:rPr>
        <w:t xml:space="preserve"> </w:t>
      </w:r>
      <w:r w:rsidRPr="00BC68B5">
        <w:rPr>
          <w:rFonts w:asciiTheme="majorBidi" w:eastAsia="Times New Roman" w:hAnsiTheme="majorBidi" w:cstheme="majorBidi"/>
          <w:color w:val="6B7589"/>
          <w:sz w:val="28"/>
          <w:szCs w:val="28"/>
          <w:lang w:eastAsia="fr-FR"/>
        </w:rPr>
        <w:t xml:space="preserve">    </w:t>
      </w:r>
      <w:r w:rsidRPr="00BC68B5">
        <w:rPr>
          <w:rFonts w:asciiTheme="majorBidi" w:eastAsia="Times New Roman" w:hAnsiTheme="majorBidi" w:cstheme="majorBidi"/>
          <w:color w:val="6B7589"/>
          <w:sz w:val="28"/>
          <w:szCs w:val="28"/>
          <w:rtl/>
          <w:lang w:eastAsia="fr-FR"/>
        </w:rPr>
        <w:t>و لا يسقط حق الشفعة إلا بمرور سنة من تاريخ شهر العقد بالمحافظة العقارية</w:t>
      </w:r>
      <w:r w:rsidRPr="00BC68B5">
        <w:rPr>
          <w:rFonts w:asciiTheme="majorBidi" w:eastAsia="Times New Roman" w:hAnsiTheme="majorBidi" w:cstheme="majorBidi"/>
          <w:color w:val="6B7589"/>
          <w:sz w:val="28"/>
          <w:szCs w:val="28"/>
          <w:lang w:eastAsia="fr-FR"/>
        </w:rPr>
        <w:t>.</w:t>
      </w:r>
      <w:r w:rsidRPr="00BC68B5">
        <w:rPr>
          <w:rFonts w:asciiTheme="majorBidi" w:eastAsia="Times New Roman" w:hAnsiTheme="majorBidi" w:cstheme="majorBidi"/>
          <w:color w:val="6B7589"/>
          <w:sz w:val="28"/>
          <w:szCs w:val="28"/>
          <w:lang w:eastAsia="fr-FR"/>
        </w:rPr>
        <w:br/>
        <w:t> </w:t>
      </w:r>
    </w:p>
    <w:p w:rsidR="00E63A4C" w:rsidRDefault="00BC68B5" w:rsidP="00E63A4C">
      <w:pPr>
        <w:shd w:val="clear" w:color="auto" w:fill="FFFFFF"/>
        <w:bidi/>
        <w:spacing w:before="120" w:after="120" w:line="450" w:lineRule="atLeast"/>
        <w:ind w:left="-630"/>
        <w:jc w:val="both"/>
        <w:outlineLvl w:val="4"/>
        <w:rPr>
          <w:rFonts w:asciiTheme="majorBidi" w:eastAsia="Times New Roman" w:hAnsiTheme="majorBidi" w:cstheme="majorBidi" w:hint="cs"/>
          <w:b/>
          <w:bCs/>
          <w:caps/>
          <w:color w:val="343A4C"/>
          <w:sz w:val="28"/>
          <w:szCs w:val="28"/>
          <w:rtl/>
          <w:lang w:eastAsia="fr-FR" w:bidi="ar-DZ"/>
        </w:rPr>
      </w:pPr>
      <w:r w:rsidRPr="00BC68B5">
        <w:rPr>
          <w:rFonts w:asciiTheme="majorBidi" w:eastAsia="Times New Roman" w:hAnsiTheme="majorBidi" w:cstheme="majorBidi"/>
          <w:b/>
          <w:bCs/>
          <w:caps/>
          <w:color w:val="343A4C"/>
          <w:sz w:val="28"/>
          <w:szCs w:val="28"/>
          <w:rtl/>
          <w:lang w:eastAsia="fr-FR"/>
        </w:rPr>
        <w:t>وجه الطعن المثار من الطاعن المرتبط بالمبدأ</w:t>
      </w:r>
      <w:r w:rsidRPr="00BC68B5">
        <w:rPr>
          <w:rFonts w:asciiTheme="majorBidi" w:eastAsia="Times New Roman" w:hAnsiTheme="majorBidi" w:cstheme="majorBidi"/>
          <w:b/>
          <w:bCs/>
          <w:caps/>
          <w:color w:val="343A4C"/>
          <w:sz w:val="28"/>
          <w:szCs w:val="28"/>
          <w:lang w:eastAsia="fr-FR"/>
        </w:rPr>
        <w:t>:</w:t>
      </w:r>
    </w:p>
    <w:p w:rsidR="00BC68B5" w:rsidRPr="00BC68B5" w:rsidRDefault="00E63A4C" w:rsidP="00E63A4C">
      <w:pPr>
        <w:shd w:val="clear" w:color="auto" w:fill="FFFFFF"/>
        <w:bidi/>
        <w:spacing w:before="120" w:after="120" w:line="450" w:lineRule="atLeast"/>
        <w:ind w:left="-630"/>
        <w:jc w:val="both"/>
        <w:outlineLvl w:val="4"/>
        <w:rPr>
          <w:rFonts w:asciiTheme="majorBidi" w:eastAsia="Times New Roman" w:hAnsiTheme="majorBidi" w:cstheme="majorBidi"/>
          <w:b/>
          <w:bCs/>
          <w:caps/>
          <w:color w:val="343A4C"/>
          <w:sz w:val="28"/>
          <w:szCs w:val="28"/>
          <w:lang w:eastAsia="fr-FR"/>
        </w:rPr>
      </w:pPr>
      <w:r>
        <w:rPr>
          <w:rFonts w:asciiTheme="majorBidi" w:eastAsia="Times New Roman" w:hAnsiTheme="majorBidi" w:cstheme="majorBidi" w:hint="cs"/>
          <w:b/>
          <w:bCs/>
          <w:caps/>
          <w:color w:val="343A4C"/>
          <w:sz w:val="28"/>
          <w:szCs w:val="28"/>
          <w:rtl/>
          <w:lang w:eastAsia="fr-FR" w:bidi="ar-DZ"/>
        </w:rPr>
        <w:t>1-</w:t>
      </w:r>
      <w:r w:rsidR="00BC68B5" w:rsidRPr="00BC68B5">
        <w:rPr>
          <w:rFonts w:asciiTheme="majorBidi" w:eastAsia="Times New Roman" w:hAnsiTheme="majorBidi" w:cstheme="majorBidi"/>
          <w:b/>
          <w:bCs/>
          <w:color w:val="6B7589"/>
          <w:sz w:val="28"/>
          <w:szCs w:val="28"/>
          <w:rtl/>
          <w:lang w:eastAsia="fr-FR"/>
        </w:rPr>
        <w:t xml:space="preserve">عن الوجــه الأول </w:t>
      </w:r>
      <w:r w:rsidRPr="00E63A4C">
        <w:rPr>
          <w:rFonts w:asciiTheme="majorBidi" w:eastAsia="Times New Roman" w:hAnsiTheme="majorBidi" w:cstheme="majorBidi" w:hint="cs"/>
          <w:b/>
          <w:bCs/>
          <w:color w:val="6B7589"/>
          <w:sz w:val="28"/>
          <w:szCs w:val="28"/>
          <w:rtl/>
          <w:lang w:eastAsia="fr-FR"/>
        </w:rPr>
        <w:t>ا</w:t>
      </w:r>
      <w:r w:rsidR="00BC68B5" w:rsidRPr="00BC68B5">
        <w:rPr>
          <w:rFonts w:asciiTheme="majorBidi" w:eastAsia="Times New Roman" w:hAnsiTheme="majorBidi" w:cstheme="majorBidi"/>
          <w:b/>
          <w:bCs/>
          <w:color w:val="6B7589"/>
          <w:sz w:val="28"/>
          <w:szCs w:val="28"/>
          <w:rtl/>
          <w:lang w:eastAsia="fr-FR"/>
        </w:rPr>
        <w:t>لمأخوذ من مخالفة قاعدة جوهرية في الإجراءات</w:t>
      </w:r>
      <w:r w:rsidRPr="00E63A4C">
        <w:rPr>
          <w:rFonts w:asciiTheme="majorBidi" w:eastAsia="Times New Roman" w:hAnsiTheme="majorBidi" w:cstheme="majorBidi" w:hint="cs"/>
          <w:b/>
          <w:bCs/>
          <w:color w:val="6B7589"/>
          <w:sz w:val="28"/>
          <w:szCs w:val="28"/>
          <w:rtl/>
          <w:lang w:eastAsia="fr-FR"/>
        </w:rPr>
        <w:t>.</w:t>
      </w:r>
      <w:r w:rsidR="00BC68B5" w:rsidRPr="00BC68B5">
        <w:rPr>
          <w:rFonts w:asciiTheme="majorBidi" w:eastAsia="Times New Roman" w:hAnsiTheme="majorBidi" w:cstheme="majorBidi"/>
          <w:color w:val="6B7589"/>
          <w:sz w:val="28"/>
          <w:szCs w:val="28"/>
          <w:lang w:eastAsia="fr-FR"/>
        </w:rPr>
        <w:br/>
        <w:t xml:space="preserve">  </w:t>
      </w:r>
      <w:proofErr w:type="gramStart"/>
      <w:r w:rsidR="00BC68B5" w:rsidRPr="00BC68B5">
        <w:rPr>
          <w:rFonts w:asciiTheme="majorBidi" w:eastAsia="Times New Roman" w:hAnsiTheme="majorBidi" w:cstheme="majorBidi"/>
          <w:color w:val="6B7589"/>
          <w:sz w:val="28"/>
          <w:szCs w:val="28"/>
          <w:rtl/>
          <w:lang w:eastAsia="fr-FR"/>
        </w:rPr>
        <w:t>حيث</w:t>
      </w:r>
      <w:proofErr w:type="gramEnd"/>
      <w:r w:rsidR="00BC68B5" w:rsidRPr="00BC68B5">
        <w:rPr>
          <w:rFonts w:asciiTheme="majorBidi" w:eastAsia="Times New Roman" w:hAnsiTheme="majorBidi" w:cstheme="majorBidi"/>
          <w:color w:val="6B7589"/>
          <w:sz w:val="28"/>
          <w:szCs w:val="28"/>
          <w:rtl/>
          <w:lang w:eastAsia="fr-FR"/>
        </w:rPr>
        <w:t xml:space="preserve"> أن الطاعن يعيب على القرار المطعون فيه بدعوى أنه صدر ابتدائيا ونهائيا طبقا للمادة 803 من القانون المدني</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t xml:space="preserve">  </w:t>
      </w:r>
      <w:r w:rsidR="00BC68B5" w:rsidRPr="00BC68B5">
        <w:rPr>
          <w:rFonts w:asciiTheme="majorBidi" w:eastAsia="Times New Roman" w:hAnsiTheme="majorBidi" w:cstheme="majorBidi"/>
          <w:color w:val="6B7589"/>
          <w:sz w:val="28"/>
          <w:szCs w:val="28"/>
          <w:rtl/>
          <w:lang w:eastAsia="fr-FR"/>
        </w:rPr>
        <w:t xml:space="preserve">في حين أنه وبعد الرجوع إلى هذه المادة لم </w:t>
      </w:r>
      <w:proofErr w:type="spellStart"/>
      <w:r w:rsidR="00BC68B5" w:rsidRPr="00BC68B5">
        <w:rPr>
          <w:rFonts w:asciiTheme="majorBidi" w:eastAsia="Times New Roman" w:hAnsiTheme="majorBidi" w:cstheme="majorBidi"/>
          <w:color w:val="6B7589"/>
          <w:sz w:val="28"/>
          <w:szCs w:val="28"/>
          <w:rtl/>
          <w:lang w:eastAsia="fr-FR"/>
        </w:rPr>
        <w:t>تنص</w:t>
      </w:r>
      <w:proofErr w:type="spellEnd"/>
      <w:r w:rsidR="00BC68B5" w:rsidRPr="00BC68B5">
        <w:rPr>
          <w:rFonts w:asciiTheme="majorBidi" w:eastAsia="Times New Roman" w:hAnsiTheme="majorBidi" w:cstheme="majorBidi"/>
          <w:color w:val="6B7589"/>
          <w:sz w:val="28"/>
          <w:szCs w:val="28"/>
          <w:rtl/>
          <w:lang w:eastAsia="fr-FR"/>
        </w:rPr>
        <w:t xml:space="preserve"> على أن الحكم الصادر عن المحكمة يصدر ابتدائيا ونهائيا، وأن المقصود من نص هذه المادة أن الحكم الصادر بحلول الشفيع محل المشتري عندما يصبح نهائيا يكون سندا لملكية الشفيع، مما يجعل هذا الحكم يصدر ابتدائيا قابلا للاستئناف ولما اعتبر قاضي الدرجة الأولى هذا الحكم ابتدائيا ونهائيا قد خالف قاعدة جوهرية في الإجراءات مما يعرض القرار المطعون فيه للنقض</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r>
      <w:r w:rsidR="00BC68B5" w:rsidRPr="00BC68B5">
        <w:rPr>
          <w:rFonts w:asciiTheme="majorBidi" w:eastAsia="Times New Roman" w:hAnsiTheme="majorBidi" w:cstheme="majorBidi"/>
          <w:b/>
          <w:bCs/>
          <w:color w:val="6B7589"/>
          <w:sz w:val="28"/>
          <w:szCs w:val="28"/>
          <w:lang w:eastAsia="fr-FR"/>
        </w:rPr>
        <w:t> </w:t>
      </w:r>
      <w:r w:rsidRPr="00E63A4C">
        <w:rPr>
          <w:rFonts w:asciiTheme="majorBidi" w:eastAsia="Times New Roman" w:hAnsiTheme="majorBidi" w:cstheme="majorBidi" w:hint="cs"/>
          <w:b/>
          <w:bCs/>
          <w:color w:val="6B7589"/>
          <w:sz w:val="28"/>
          <w:szCs w:val="28"/>
          <w:rtl/>
          <w:lang w:eastAsia="fr-FR"/>
        </w:rPr>
        <w:t>2</w:t>
      </w:r>
      <w:r>
        <w:rPr>
          <w:rFonts w:asciiTheme="majorBidi" w:eastAsia="Times New Roman" w:hAnsiTheme="majorBidi" w:cstheme="majorBidi" w:hint="cs"/>
          <w:color w:val="6B7589"/>
          <w:sz w:val="28"/>
          <w:szCs w:val="28"/>
          <w:rtl/>
          <w:lang w:eastAsia="fr-FR"/>
        </w:rPr>
        <w:t xml:space="preserve">- </w:t>
      </w:r>
      <w:r w:rsidR="00BC68B5" w:rsidRPr="00BC68B5">
        <w:rPr>
          <w:rFonts w:asciiTheme="majorBidi" w:eastAsia="Times New Roman" w:hAnsiTheme="majorBidi" w:cstheme="majorBidi"/>
          <w:b/>
          <w:bCs/>
          <w:color w:val="6B7589"/>
          <w:sz w:val="28"/>
          <w:szCs w:val="28"/>
          <w:rtl/>
          <w:lang w:eastAsia="fr-FR"/>
        </w:rPr>
        <w:t>الوجـــه الثاني</w:t>
      </w:r>
      <w:r w:rsidRPr="00E63A4C">
        <w:rPr>
          <w:rFonts w:asciiTheme="majorBidi" w:eastAsia="Times New Roman" w:hAnsiTheme="majorBidi" w:cstheme="majorBidi" w:hint="cs"/>
          <w:b/>
          <w:bCs/>
          <w:color w:val="6B7589"/>
          <w:sz w:val="28"/>
          <w:szCs w:val="28"/>
          <w:rtl/>
          <w:lang w:eastAsia="fr-FR"/>
        </w:rPr>
        <w:t xml:space="preserve"> </w:t>
      </w:r>
      <w:r w:rsidR="00BC68B5" w:rsidRPr="00BC68B5">
        <w:rPr>
          <w:rFonts w:asciiTheme="majorBidi" w:eastAsia="Times New Roman" w:hAnsiTheme="majorBidi" w:cstheme="majorBidi"/>
          <w:b/>
          <w:bCs/>
          <w:color w:val="6B7589"/>
          <w:sz w:val="28"/>
          <w:szCs w:val="28"/>
          <w:rtl/>
          <w:lang w:eastAsia="fr-FR"/>
        </w:rPr>
        <w:t xml:space="preserve"> المأخوذ من انعدام الأساس القانوني</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t xml:space="preserve">  </w:t>
      </w:r>
      <w:proofErr w:type="gramStart"/>
      <w:r w:rsidR="00BC68B5" w:rsidRPr="00BC68B5">
        <w:rPr>
          <w:rFonts w:asciiTheme="majorBidi" w:eastAsia="Times New Roman" w:hAnsiTheme="majorBidi" w:cstheme="majorBidi"/>
          <w:color w:val="6B7589"/>
          <w:sz w:val="28"/>
          <w:szCs w:val="28"/>
          <w:rtl/>
          <w:lang w:eastAsia="fr-FR"/>
        </w:rPr>
        <w:t>حيث</w:t>
      </w:r>
      <w:proofErr w:type="gramEnd"/>
      <w:r w:rsidR="00BC68B5" w:rsidRPr="00BC68B5">
        <w:rPr>
          <w:rFonts w:asciiTheme="majorBidi" w:eastAsia="Times New Roman" w:hAnsiTheme="majorBidi" w:cstheme="majorBidi"/>
          <w:color w:val="6B7589"/>
          <w:sz w:val="28"/>
          <w:szCs w:val="28"/>
          <w:rtl/>
          <w:lang w:eastAsia="fr-FR"/>
        </w:rPr>
        <w:t xml:space="preserve"> أن الطاعن يعيب على القرار المطعون فيه بدعوى أن عقد البيع سجل بتاريخ 30/01/2013 وأن عقد التصريح بالرغبة سجل بتاريخ 22/12/2013 وأن تبليغ الإعلان عن الرغبة بالشفعة كان بموجب محضر محرر من طرف المحضر القضائي بتاريخ 10/02/2014 إلى الطاعن دون باقي الأطراف</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r>
      <w:r w:rsidR="00BC68B5" w:rsidRPr="00BC68B5">
        <w:rPr>
          <w:rFonts w:asciiTheme="majorBidi" w:eastAsia="Times New Roman" w:hAnsiTheme="majorBidi" w:cstheme="majorBidi"/>
          <w:color w:val="6B7589"/>
          <w:sz w:val="28"/>
          <w:szCs w:val="28"/>
          <w:rtl/>
          <w:lang w:eastAsia="fr-FR"/>
        </w:rPr>
        <w:t xml:space="preserve">وأن دعوى الأخذ بالشفعة قد رفعت بتاريخ 30/03/2014 مما يجعل حق الشفعة قد سقط لمرور أكثر من سنة من </w:t>
      </w:r>
      <w:r w:rsidR="00BC68B5" w:rsidRPr="00BC68B5">
        <w:rPr>
          <w:rFonts w:asciiTheme="majorBidi" w:eastAsia="Times New Roman" w:hAnsiTheme="majorBidi" w:cstheme="majorBidi"/>
          <w:color w:val="6B7589"/>
          <w:sz w:val="28"/>
          <w:szCs w:val="28"/>
          <w:rtl/>
          <w:lang w:eastAsia="fr-FR"/>
        </w:rPr>
        <w:lastRenderedPageBreak/>
        <w:t>تاريخ تسجيل عقد البيع، مما يجعل الحكم محل الطعن بالنقض منعدم الأساس القانوني</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t> </w:t>
      </w:r>
    </w:p>
    <w:p w:rsidR="00E63A4C" w:rsidRDefault="00BC68B5" w:rsidP="00E63A4C">
      <w:pPr>
        <w:shd w:val="clear" w:color="auto" w:fill="FFFFFF"/>
        <w:bidi/>
        <w:spacing w:before="120" w:after="120" w:line="450" w:lineRule="atLeast"/>
        <w:ind w:left="-630"/>
        <w:jc w:val="both"/>
        <w:outlineLvl w:val="4"/>
        <w:rPr>
          <w:rFonts w:asciiTheme="majorBidi" w:eastAsia="Times New Roman" w:hAnsiTheme="majorBidi" w:cstheme="majorBidi" w:hint="cs"/>
          <w:b/>
          <w:bCs/>
          <w:caps/>
          <w:color w:val="343A4C"/>
          <w:sz w:val="28"/>
          <w:szCs w:val="28"/>
          <w:rtl/>
          <w:lang w:eastAsia="fr-FR" w:bidi="ar-DZ"/>
        </w:rPr>
      </w:pPr>
      <w:r w:rsidRPr="00BC68B5">
        <w:rPr>
          <w:rFonts w:asciiTheme="majorBidi" w:eastAsia="Times New Roman" w:hAnsiTheme="majorBidi" w:cstheme="majorBidi"/>
          <w:b/>
          <w:bCs/>
          <w:caps/>
          <w:color w:val="343A4C"/>
          <w:sz w:val="28"/>
          <w:szCs w:val="28"/>
          <w:rtl/>
          <w:lang w:eastAsia="fr-FR"/>
        </w:rPr>
        <w:t>رد المحكمة العليا عن الوجه المرتبط بالمبدأ</w:t>
      </w:r>
      <w:r w:rsidRPr="00BC68B5">
        <w:rPr>
          <w:rFonts w:asciiTheme="majorBidi" w:eastAsia="Times New Roman" w:hAnsiTheme="majorBidi" w:cstheme="majorBidi"/>
          <w:b/>
          <w:bCs/>
          <w:caps/>
          <w:color w:val="343A4C"/>
          <w:sz w:val="28"/>
          <w:szCs w:val="28"/>
          <w:lang w:eastAsia="fr-FR"/>
        </w:rPr>
        <w:t>:</w:t>
      </w:r>
    </w:p>
    <w:p w:rsidR="00BC68B5" w:rsidRPr="00BC68B5" w:rsidRDefault="00E63A4C" w:rsidP="00E63A4C">
      <w:pPr>
        <w:shd w:val="clear" w:color="auto" w:fill="FFFFFF"/>
        <w:bidi/>
        <w:spacing w:before="120" w:after="120" w:line="450" w:lineRule="atLeast"/>
        <w:ind w:left="-630"/>
        <w:jc w:val="both"/>
        <w:outlineLvl w:val="4"/>
        <w:rPr>
          <w:rFonts w:asciiTheme="majorBidi" w:eastAsia="Times New Roman" w:hAnsiTheme="majorBidi" w:cstheme="majorBidi"/>
          <w:b/>
          <w:bCs/>
          <w:caps/>
          <w:color w:val="343A4C"/>
          <w:sz w:val="28"/>
          <w:szCs w:val="28"/>
          <w:lang w:eastAsia="fr-FR"/>
        </w:rPr>
      </w:pPr>
      <w:r>
        <w:rPr>
          <w:rFonts w:asciiTheme="majorBidi" w:eastAsia="Times New Roman" w:hAnsiTheme="majorBidi" w:cstheme="majorBidi" w:hint="cs"/>
          <w:b/>
          <w:bCs/>
          <w:caps/>
          <w:color w:val="343A4C"/>
          <w:sz w:val="28"/>
          <w:szCs w:val="28"/>
          <w:rtl/>
          <w:lang w:eastAsia="fr-FR" w:bidi="ar-DZ"/>
        </w:rPr>
        <w:t xml:space="preserve">1- </w:t>
      </w:r>
      <w:proofErr w:type="gramStart"/>
      <w:r w:rsidR="00BC68B5" w:rsidRPr="00BC68B5">
        <w:rPr>
          <w:rFonts w:asciiTheme="majorBidi" w:eastAsia="Times New Roman" w:hAnsiTheme="majorBidi" w:cstheme="majorBidi"/>
          <w:color w:val="6B7589"/>
          <w:sz w:val="28"/>
          <w:szCs w:val="28"/>
          <w:rtl/>
          <w:lang w:eastAsia="fr-FR"/>
        </w:rPr>
        <w:t>لكن</w:t>
      </w:r>
      <w:proofErr w:type="gramEnd"/>
      <w:r w:rsidR="00BC68B5" w:rsidRPr="00BC68B5">
        <w:rPr>
          <w:rFonts w:asciiTheme="majorBidi" w:eastAsia="Times New Roman" w:hAnsiTheme="majorBidi" w:cstheme="majorBidi"/>
          <w:color w:val="6B7589"/>
          <w:sz w:val="28"/>
          <w:szCs w:val="28"/>
          <w:rtl/>
          <w:lang w:eastAsia="fr-FR"/>
        </w:rPr>
        <w:t xml:space="preserve"> ما يعيبه الطاعن على القرار المطعون فيه في غير محله، ذلك أن المادة 803 من القانون المدني نصت على أن الحكم الذي يصدر بثبوت الشفعة يصدر نهائيا ويكون سندا للملكية</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r>
      <w:r w:rsidR="00BC68B5" w:rsidRPr="00BC68B5">
        <w:rPr>
          <w:rFonts w:asciiTheme="majorBidi" w:eastAsia="Times New Roman" w:hAnsiTheme="majorBidi" w:cstheme="majorBidi"/>
          <w:b/>
          <w:bCs/>
          <w:color w:val="6B7589"/>
          <w:sz w:val="28"/>
          <w:szCs w:val="28"/>
          <w:lang w:eastAsia="fr-FR"/>
        </w:rPr>
        <w:t> </w:t>
      </w:r>
      <w:r w:rsidRPr="00E63A4C">
        <w:rPr>
          <w:rFonts w:asciiTheme="majorBidi" w:eastAsia="Times New Roman" w:hAnsiTheme="majorBidi" w:cstheme="majorBidi" w:hint="cs"/>
          <w:b/>
          <w:bCs/>
          <w:color w:val="6B7589"/>
          <w:sz w:val="28"/>
          <w:szCs w:val="28"/>
          <w:rtl/>
          <w:lang w:eastAsia="fr-FR"/>
        </w:rPr>
        <w:t>2-</w:t>
      </w:r>
      <w:r>
        <w:rPr>
          <w:rFonts w:asciiTheme="majorBidi" w:eastAsia="Times New Roman" w:hAnsiTheme="majorBidi" w:cstheme="majorBidi" w:hint="cs"/>
          <w:color w:val="6B7589"/>
          <w:sz w:val="28"/>
          <w:szCs w:val="28"/>
          <w:rtl/>
          <w:lang w:eastAsia="fr-FR"/>
        </w:rPr>
        <w:t xml:space="preserve"> </w:t>
      </w:r>
      <w:r w:rsidR="00BC68B5" w:rsidRPr="00BC68B5">
        <w:rPr>
          <w:rFonts w:asciiTheme="majorBidi" w:eastAsia="Times New Roman" w:hAnsiTheme="majorBidi" w:cstheme="majorBidi"/>
          <w:color w:val="6B7589"/>
          <w:sz w:val="28"/>
          <w:szCs w:val="28"/>
          <w:rtl/>
          <w:lang w:eastAsia="fr-FR"/>
        </w:rPr>
        <w:t>وحيث أن ما يعيبه الطاعن على القرار المطعون فيه في غير محله، ذلك أنه وبالرجوع إلى أحكام المادة 729 من القانون المدني، فإنها تلقي التزاما على عاتق البائع أو المشتري أن يقوم بإنذار لمن يريد الأخذ بالشفعة</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t xml:space="preserve">  </w:t>
      </w:r>
      <w:r w:rsidR="00BC68B5" w:rsidRPr="00BC68B5">
        <w:rPr>
          <w:rFonts w:asciiTheme="majorBidi" w:eastAsia="Times New Roman" w:hAnsiTheme="majorBidi" w:cstheme="majorBidi"/>
          <w:color w:val="6B7589"/>
          <w:sz w:val="28"/>
          <w:szCs w:val="28"/>
          <w:rtl/>
          <w:lang w:eastAsia="fr-FR"/>
        </w:rPr>
        <w:t>وحيث أنه إذا لم يقم البائع أو المشتري بإنذار الشفيع، فإن تلك المواعيد تبقى مفتوحة وبالتالي يستطيع الشفيع أن يمارس حقه في الشفعة في أي وقت يريد ويشاء</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t xml:space="preserve">  </w:t>
      </w:r>
      <w:proofErr w:type="gramStart"/>
      <w:r w:rsidR="00BC68B5" w:rsidRPr="00BC68B5">
        <w:rPr>
          <w:rFonts w:asciiTheme="majorBidi" w:eastAsia="Times New Roman" w:hAnsiTheme="majorBidi" w:cstheme="majorBidi"/>
          <w:color w:val="6B7589"/>
          <w:sz w:val="28"/>
          <w:szCs w:val="28"/>
          <w:rtl/>
          <w:lang w:eastAsia="fr-FR"/>
        </w:rPr>
        <w:t>كما</w:t>
      </w:r>
      <w:proofErr w:type="gramEnd"/>
      <w:r w:rsidR="00BC68B5" w:rsidRPr="00BC68B5">
        <w:rPr>
          <w:rFonts w:asciiTheme="majorBidi" w:eastAsia="Times New Roman" w:hAnsiTheme="majorBidi" w:cstheme="majorBidi"/>
          <w:color w:val="6B7589"/>
          <w:sz w:val="28"/>
          <w:szCs w:val="28"/>
          <w:rtl/>
          <w:lang w:eastAsia="fr-FR"/>
        </w:rPr>
        <w:t xml:space="preserve"> أن حق الشفعة يسقط بمرور سنة من تاريخ شهر العقد بالمحافظة العقارية</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t xml:space="preserve">  </w:t>
      </w:r>
      <w:r w:rsidR="00BC68B5" w:rsidRPr="00BC68B5">
        <w:rPr>
          <w:rFonts w:asciiTheme="majorBidi" w:eastAsia="Times New Roman" w:hAnsiTheme="majorBidi" w:cstheme="majorBidi"/>
          <w:color w:val="6B7589"/>
          <w:sz w:val="28"/>
          <w:szCs w:val="28"/>
          <w:rtl/>
          <w:lang w:eastAsia="fr-FR"/>
        </w:rPr>
        <w:t>وحيث أنه وبعد الرجوع إلى وقائع القضية، أن عقد البيع تم شهره بتاريخ 31/08/2013 في حين دعوى الأخذ بالشفعة تم تسجيل عريضتها بأمانة ضبط المحكمة بتاريخ 06/03/2014 وأن ميعاد السنة يحسب من تاريخ شهر العقد إلى تاريخ رفع الدعوى، فلم تنقض على دعوى الأخذ بالشفعة سنة، مما يجعل هذا النعي في غير محله، يتعين معه التصريح برفض هذا الوجــه</w:t>
      </w:r>
      <w:r w:rsidR="00BC68B5" w:rsidRPr="00BC68B5">
        <w:rPr>
          <w:rFonts w:asciiTheme="majorBidi" w:eastAsia="Times New Roman" w:hAnsiTheme="majorBidi" w:cstheme="majorBidi"/>
          <w:color w:val="6B7589"/>
          <w:sz w:val="28"/>
          <w:szCs w:val="28"/>
          <w:lang w:eastAsia="fr-FR"/>
        </w:rPr>
        <w:t>.</w:t>
      </w:r>
      <w:r w:rsidR="00BC68B5" w:rsidRPr="00BC68B5">
        <w:rPr>
          <w:rFonts w:asciiTheme="majorBidi" w:eastAsia="Times New Roman" w:hAnsiTheme="majorBidi" w:cstheme="majorBidi"/>
          <w:color w:val="6B7589"/>
          <w:sz w:val="28"/>
          <w:szCs w:val="28"/>
          <w:lang w:eastAsia="fr-FR"/>
        </w:rPr>
        <w:br/>
        <w:t> </w:t>
      </w:r>
    </w:p>
    <w:p w:rsidR="00E63A4C" w:rsidRDefault="00BC68B5" w:rsidP="00E63A4C">
      <w:pPr>
        <w:shd w:val="clear" w:color="auto" w:fill="FFFFFF"/>
        <w:bidi/>
        <w:spacing w:before="120" w:after="120" w:line="450" w:lineRule="atLeast"/>
        <w:ind w:left="-630"/>
        <w:jc w:val="both"/>
        <w:outlineLvl w:val="4"/>
        <w:rPr>
          <w:rFonts w:asciiTheme="majorBidi" w:eastAsia="Times New Roman" w:hAnsiTheme="majorBidi" w:cstheme="majorBidi" w:hint="cs"/>
          <w:b/>
          <w:bCs/>
          <w:caps/>
          <w:color w:val="343A4C"/>
          <w:sz w:val="28"/>
          <w:szCs w:val="28"/>
          <w:rtl/>
          <w:lang w:eastAsia="fr-FR" w:bidi="ar-DZ"/>
        </w:rPr>
      </w:pPr>
      <w:proofErr w:type="gramStart"/>
      <w:r w:rsidRPr="00BC68B5">
        <w:rPr>
          <w:rFonts w:asciiTheme="majorBidi" w:eastAsia="Times New Roman" w:hAnsiTheme="majorBidi" w:cstheme="majorBidi"/>
          <w:b/>
          <w:bCs/>
          <w:caps/>
          <w:color w:val="343A4C"/>
          <w:sz w:val="28"/>
          <w:szCs w:val="28"/>
          <w:rtl/>
          <w:lang w:eastAsia="fr-FR"/>
        </w:rPr>
        <w:t>منطوق</w:t>
      </w:r>
      <w:proofErr w:type="gramEnd"/>
      <w:r w:rsidRPr="00BC68B5">
        <w:rPr>
          <w:rFonts w:asciiTheme="majorBidi" w:eastAsia="Times New Roman" w:hAnsiTheme="majorBidi" w:cstheme="majorBidi"/>
          <w:b/>
          <w:bCs/>
          <w:caps/>
          <w:color w:val="343A4C"/>
          <w:sz w:val="28"/>
          <w:szCs w:val="28"/>
          <w:rtl/>
          <w:lang w:eastAsia="fr-FR"/>
        </w:rPr>
        <w:t xml:space="preserve"> القرار</w:t>
      </w:r>
    </w:p>
    <w:p w:rsidR="00BC68B5" w:rsidRPr="00BC68B5" w:rsidRDefault="00BC68B5" w:rsidP="00E63A4C">
      <w:pPr>
        <w:shd w:val="clear" w:color="auto" w:fill="FFFFFF"/>
        <w:bidi/>
        <w:spacing w:before="120" w:after="120" w:line="450" w:lineRule="atLeast"/>
        <w:ind w:left="-630"/>
        <w:jc w:val="both"/>
        <w:outlineLvl w:val="4"/>
        <w:rPr>
          <w:rFonts w:asciiTheme="majorBidi" w:eastAsia="Times New Roman" w:hAnsiTheme="majorBidi" w:cstheme="majorBidi"/>
          <w:b/>
          <w:bCs/>
          <w:caps/>
          <w:color w:val="343A4C"/>
          <w:sz w:val="28"/>
          <w:szCs w:val="28"/>
          <w:lang w:eastAsia="fr-FR"/>
        </w:rPr>
      </w:pPr>
      <w:r w:rsidRPr="00BC68B5">
        <w:rPr>
          <w:rFonts w:asciiTheme="majorBidi" w:eastAsia="Times New Roman" w:hAnsiTheme="majorBidi" w:cstheme="majorBidi"/>
          <w:color w:val="6B7589"/>
          <w:sz w:val="28"/>
          <w:szCs w:val="28"/>
          <w:rtl/>
          <w:lang w:eastAsia="fr-FR"/>
        </w:rPr>
        <w:t>قبول الطعن شكلا ورفضه موضوعا</w:t>
      </w:r>
    </w:p>
    <w:p w:rsidR="00E63A4C" w:rsidRDefault="00BC68B5" w:rsidP="00E63A4C">
      <w:pPr>
        <w:shd w:val="clear" w:color="auto" w:fill="FFFFFF"/>
        <w:bidi/>
        <w:spacing w:before="120" w:after="120" w:line="450" w:lineRule="atLeast"/>
        <w:ind w:left="-630"/>
        <w:jc w:val="both"/>
        <w:outlineLvl w:val="4"/>
        <w:rPr>
          <w:rFonts w:asciiTheme="majorBidi" w:eastAsia="Times New Roman" w:hAnsiTheme="majorBidi" w:cstheme="majorBidi" w:hint="cs"/>
          <w:b/>
          <w:bCs/>
          <w:caps/>
          <w:color w:val="343A4C"/>
          <w:sz w:val="28"/>
          <w:szCs w:val="28"/>
          <w:rtl/>
          <w:lang w:eastAsia="fr-FR" w:bidi="ar-DZ"/>
        </w:rPr>
      </w:pPr>
      <w:proofErr w:type="gramStart"/>
      <w:r w:rsidRPr="00BC68B5">
        <w:rPr>
          <w:rFonts w:asciiTheme="majorBidi" w:eastAsia="Times New Roman" w:hAnsiTheme="majorBidi" w:cstheme="majorBidi"/>
          <w:b/>
          <w:bCs/>
          <w:caps/>
          <w:color w:val="343A4C"/>
          <w:sz w:val="28"/>
          <w:szCs w:val="28"/>
          <w:rtl/>
          <w:lang w:eastAsia="fr-FR"/>
        </w:rPr>
        <w:t>الرئيس</w:t>
      </w:r>
      <w:proofErr w:type="gramEnd"/>
    </w:p>
    <w:p w:rsidR="00BC68B5" w:rsidRPr="00BC68B5" w:rsidRDefault="00BC68B5" w:rsidP="00E63A4C">
      <w:pPr>
        <w:shd w:val="clear" w:color="auto" w:fill="FFFFFF"/>
        <w:bidi/>
        <w:spacing w:before="120" w:after="120" w:line="450" w:lineRule="atLeast"/>
        <w:ind w:left="-630"/>
        <w:jc w:val="both"/>
        <w:outlineLvl w:val="4"/>
        <w:rPr>
          <w:rFonts w:asciiTheme="majorBidi" w:eastAsia="Times New Roman" w:hAnsiTheme="majorBidi" w:cstheme="majorBidi"/>
          <w:b/>
          <w:bCs/>
          <w:caps/>
          <w:color w:val="343A4C"/>
          <w:sz w:val="28"/>
          <w:szCs w:val="28"/>
          <w:lang w:eastAsia="fr-FR"/>
        </w:rPr>
      </w:pPr>
      <w:proofErr w:type="spellStart"/>
      <w:r w:rsidRPr="00BC68B5">
        <w:rPr>
          <w:rFonts w:asciiTheme="majorBidi" w:eastAsia="Times New Roman" w:hAnsiTheme="majorBidi" w:cstheme="majorBidi"/>
          <w:color w:val="6B7589"/>
          <w:sz w:val="28"/>
          <w:szCs w:val="28"/>
          <w:rtl/>
          <w:lang w:eastAsia="fr-FR"/>
        </w:rPr>
        <w:t>زودة</w:t>
      </w:r>
      <w:proofErr w:type="spellEnd"/>
      <w:r w:rsidRPr="00BC68B5">
        <w:rPr>
          <w:rFonts w:asciiTheme="majorBidi" w:eastAsia="Times New Roman" w:hAnsiTheme="majorBidi" w:cstheme="majorBidi"/>
          <w:color w:val="6B7589"/>
          <w:sz w:val="28"/>
          <w:szCs w:val="28"/>
          <w:rtl/>
          <w:lang w:eastAsia="fr-FR"/>
        </w:rPr>
        <w:t xml:space="preserve"> عمر</w:t>
      </w:r>
    </w:p>
    <w:p w:rsidR="00E63A4C" w:rsidRDefault="00BC68B5" w:rsidP="00E63A4C">
      <w:pPr>
        <w:shd w:val="clear" w:color="auto" w:fill="FFFFFF"/>
        <w:bidi/>
        <w:spacing w:before="120" w:after="120" w:line="450" w:lineRule="atLeast"/>
        <w:ind w:left="-630"/>
        <w:jc w:val="both"/>
        <w:outlineLvl w:val="4"/>
        <w:rPr>
          <w:rFonts w:asciiTheme="majorBidi" w:eastAsia="Times New Roman" w:hAnsiTheme="majorBidi" w:cstheme="majorBidi" w:hint="cs"/>
          <w:b/>
          <w:bCs/>
          <w:caps/>
          <w:color w:val="343A4C"/>
          <w:sz w:val="28"/>
          <w:szCs w:val="28"/>
          <w:rtl/>
          <w:lang w:eastAsia="fr-FR" w:bidi="ar-DZ"/>
        </w:rPr>
      </w:pPr>
      <w:r w:rsidRPr="00BC68B5">
        <w:rPr>
          <w:rFonts w:asciiTheme="majorBidi" w:eastAsia="Times New Roman" w:hAnsiTheme="majorBidi" w:cstheme="majorBidi"/>
          <w:b/>
          <w:bCs/>
          <w:caps/>
          <w:color w:val="343A4C"/>
          <w:sz w:val="28"/>
          <w:szCs w:val="28"/>
          <w:rtl/>
          <w:lang w:eastAsia="fr-FR"/>
        </w:rPr>
        <w:t>المستشار المقرر</w:t>
      </w:r>
    </w:p>
    <w:p w:rsidR="00BC68B5" w:rsidRPr="00BC68B5" w:rsidRDefault="00BC68B5" w:rsidP="00E63A4C">
      <w:pPr>
        <w:shd w:val="clear" w:color="auto" w:fill="FFFFFF"/>
        <w:bidi/>
        <w:spacing w:before="120" w:after="120" w:line="450" w:lineRule="atLeast"/>
        <w:ind w:left="-630"/>
        <w:jc w:val="both"/>
        <w:outlineLvl w:val="4"/>
        <w:rPr>
          <w:rFonts w:asciiTheme="majorBidi" w:eastAsia="Times New Roman" w:hAnsiTheme="majorBidi" w:cstheme="majorBidi"/>
          <w:b/>
          <w:bCs/>
          <w:caps/>
          <w:color w:val="343A4C"/>
          <w:sz w:val="28"/>
          <w:szCs w:val="28"/>
          <w:lang w:eastAsia="fr-FR"/>
        </w:rPr>
      </w:pPr>
      <w:proofErr w:type="spellStart"/>
      <w:r w:rsidRPr="00BC68B5">
        <w:rPr>
          <w:rFonts w:asciiTheme="majorBidi" w:eastAsia="Times New Roman" w:hAnsiTheme="majorBidi" w:cstheme="majorBidi"/>
          <w:color w:val="6B7589"/>
          <w:sz w:val="28"/>
          <w:szCs w:val="28"/>
          <w:rtl/>
          <w:lang w:eastAsia="fr-FR"/>
        </w:rPr>
        <w:t>زودة</w:t>
      </w:r>
      <w:proofErr w:type="spellEnd"/>
      <w:r w:rsidRPr="00BC68B5">
        <w:rPr>
          <w:rFonts w:asciiTheme="majorBidi" w:eastAsia="Times New Roman" w:hAnsiTheme="majorBidi" w:cstheme="majorBidi"/>
          <w:color w:val="6B7589"/>
          <w:sz w:val="28"/>
          <w:szCs w:val="28"/>
          <w:rtl/>
          <w:lang w:eastAsia="fr-FR"/>
        </w:rPr>
        <w:t xml:space="preserve"> عمر</w:t>
      </w:r>
    </w:p>
    <w:p w:rsidR="00D0496B" w:rsidRPr="00BC68B5" w:rsidRDefault="00D0496B" w:rsidP="00BC68B5">
      <w:pPr>
        <w:bidi/>
        <w:rPr>
          <w:rFonts w:asciiTheme="majorBidi" w:hAnsiTheme="majorBidi" w:cstheme="majorBidi"/>
          <w:sz w:val="28"/>
          <w:szCs w:val="28"/>
        </w:rPr>
      </w:pPr>
    </w:p>
    <w:sectPr w:rsidR="00D0496B" w:rsidRPr="00BC68B5" w:rsidSect="00D049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D65"/>
    <w:multiLevelType w:val="multilevel"/>
    <w:tmpl w:val="A500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52238"/>
    <w:multiLevelType w:val="multilevel"/>
    <w:tmpl w:val="ED20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D0792"/>
    <w:multiLevelType w:val="multilevel"/>
    <w:tmpl w:val="322E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82382F"/>
    <w:multiLevelType w:val="multilevel"/>
    <w:tmpl w:val="450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E15C6"/>
    <w:multiLevelType w:val="multilevel"/>
    <w:tmpl w:val="290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C68B5"/>
    <w:rsid w:val="00BC68B5"/>
    <w:rsid w:val="00D0496B"/>
    <w:rsid w:val="00E63A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6B"/>
  </w:style>
  <w:style w:type="paragraph" w:styleId="Titre1">
    <w:name w:val="heading 1"/>
    <w:basedOn w:val="Normal"/>
    <w:link w:val="Titre1Car"/>
    <w:uiPriority w:val="9"/>
    <w:qFormat/>
    <w:rsid w:val="00BC6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BC68B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68B5"/>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BC68B5"/>
    <w:rPr>
      <w:rFonts w:ascii="Times New Roman" w:eastAsia="Times New Roman" w:hAnsi="Times New Roman" w:cs="Times New Roman"/>
      <w:b/>
      <w:bCs/>
      <w:sz w:val="20"/>
      <w:szCs w:val="20"/>
      <w:lang w:eastAsia="fr-FR"/>
    </w:rPr>
  </w:style>
  <w:style w:type="character" w:customStyle="1" w:styleId="decision-label">
    <w:name w:val="decision-label"/>
    <w:basedOn w:val="Policepardfaut"/>
    <w:rsid w:val="00BC68B5"/>
  </w:style>
  <w:style w:type="paragraph" w:styleId="NormalWeb">
    <w:name w:val="Normal (Web)"/>
    <w:basedOn w:val="Normal"/>
    <w:uiPriority w:val="99"/>
    <w:semiHidden/>
    <w:unhideWhenUsed/>
    <w:rsid w:val="00BC68B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28185900">
      <w:bodyDiv w:val="1"/>
      <w:marLeft w:val="0"/>
      <w:marRight w:val="0"/>
      <w:marTop w:val="0"/>
      <w:marBottom w:val="0"/>
      <w:divBdr>
        <w:top w:val="none" w:sz="0" w:space="0" w:color="auto"/>
        <w:left w:val="none" w:sz="0" w:space="0" w:color="auto"/>
        <w:bottom w:val="none" w:sz="0" w:space="0" w:color="auto"/>
        <w:right w:val="none" w:sz="0" w:space="0" w:color="auto"/>
      </w:divBdr>
      <w:divsChild>
        <w:div w:id="124087159">
          <w:marLeft w:val="0"/>
          <w:marRight w:val="0"/>
          <w:marTop w:val="0"/>
          <w:marBottom w:val="0"/>
          <w:divBdr>
            <w:top w:val="none" w:sz="0" w:space="0" w:color="auto"/>
            <w:left w:val="none" w:sz="0" w:space="0" w:color="auto"/>
            <w:bottom w:val="none" w:sz="0" w:space="0" w:color="auto"/>
            <w:right w:val="none" w:sz="0" w:space="0" w:color="auto"/>
          </w:divBdr>
          <w:divsChild>
            <w:div w:id="1554807587">
              <w:marLeft w:val="0"/>
              <w:marRight w:val="0"/>
              <w:marTop w:val="0"/>
              <w:marBottom w:val="0"/>
              <w:divBdr>
                <w:top w:val="none" w:sz="0" w:space="0" w:color="auto"/>
                <w:left w:val="none" w:sz="0" w:space="0" w:color="auto"/>
                <w:bottom w:val="none" w:sz="0" w:space="0" w:color="auto"/>
                <w:right w:val="none" w:sz="0" w:space="0" w:color="auto"/>
              </w:divBdr>
              <w:divsChild>
                <w:div w:id="560216661">
                  <w:marLeft w:val="0"/>
                  <w:marRight w:val="0"/>
                  <w:marTop w:val="0"/>
                  <w:marBottom w:val="0"/>
                  <w:divBdr>
                    <w:top w:val="none" w:sz="0" w:space="0" w:color="auto"/>
                    <w:left w:val="none" w:sz="0" w:space="0" w:color="auto"/>
                    <w:bottom w:val="none" w:sz="0" w:space="0" w:color="auto"/>
                    <w:right w:val="none" w:sz="0" w:space="0" w:color="auto"/>
                  </w:divBdr>
                  <w:divsChild>
                    <w:div w:id="788353911">
                      <w:marLeft w:val="-315"/>
                      <w:marRight w:val="-315"/>
                      <w:marTop w:val="0"/>
                      <w:marBottom w:val="0"/>
                      <w:divBdr>
                        <w:top w:val="none" w:sz="0" w:space="0" w:color="auto"/>
                        <w:left w:val="none" w:sz="0" w:space="0" w:color="auto"/>
                        <w:bottom w:val="none" w:sz="0" w:space="0" w:color="auto"/>
                        <w:right w:val="none" w:sz="0" w:space="0" w:color="auto"/>
                      </w:divBdr>
                      <w:divsChild>
                        <w:div w:id="1006329280">
                          <w:marLeft w:val="0"/>
                          <w:marRight w:val="0"/>
                          <w:marTop w:val="0"/>
                          <w:marBottom w:val="0"/>
                          <w:divBdr>
                            <w:top w:val="none" w:sz="0" w:space="0" w:color="auto"/>
                            <w:left w:val="none" w:sz="0" w:space="0" w:color="auto"/>
                            <w:bottom w:val="none" w:sz="0" w:space="0" w:color="auto"/>
                            <w:right w:val="none" w:sz="0" w:space="0" w:color="auto"/>
                          </w:divBdr>
                          <w:divsChild>
                            <w:div w:id="627056724">
                              <w:marLeft w:val="0"/>
                              <w:marRight w:val="0"/>
                              <w:marTop w:val="0"/>
                              <w:marBottom w:val="0"/>
                              <w:divBdr>
                                <w:top w:val="none" w:sz="0" w:space="0" w:color="auto"/>
                                <w:left w:val="none" w:sz="0" w:space="0" w:color="auto"/>
                                <w:bottom w:val="none" w:sz="0" w:space="0" w:color="auto"/>
                                <w:right w:val="none" w:sz="0" w:space="0" w:color="auto"/>
                              </w:divBdr>
                              <w:divsChild>
                                <w:div w:id="13334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205832">
          <w:marLeft w:val="0"/>
          <w:marRight w:val="0"/>
          <w:marTop w:val="0"/>
          <w:marBottom w:val="0"/>
          <w:divBdr>
            <w:top w:val="none" w:sz="0" w:space="0" w:color="auto"/>
            <w:left w:val="none" w:sz="0" w:space="0" w:color="auto"/>
            <w:bottom w:val="none" w:sz="0" w:space="0" w:color="auto"/>
            <w:right w:val="none" w:sz="0" w:space="0" w:color="auto"/>
          </w:divBdr>
          <w:divsChild>
            <w:div w:id="343478217">
              <w:marLeft w:val="-315"/>
              <w:marRight w:val="-315"/>
              <w:marTop w:val="0"/>
              <w:marBottom w:val="0"/>
              <w:divBdr>
                <w:top w:val="none" w:sz="0" w:space="0" w:color="auto"/>
                <w:left w:val="none" w:sz="0" w:space="0" w:color="auto"/>
                <w:bottom w:val="none" w:sz="0" w:space="0" w:color="auto"/>
                <w:right w:val="none" w:sz="0" w:space="0" w:color="auto"/>
              </w:divBdr>
              <w:divsChild>
                <w:div w:id="18088147">
                  <w:marLeft w:val="0"/>
                  <w:marRight w:val="0"/>
                  <w:marTop w:val="0"/>
                  <w:marBottom w:val="0"/>
                  <w:divBdr>
                    <w:top w:val="none" w:sz="0" w:space="0" w:color="auto"/>
                    <w:left w:val="none" w:sz="0" w:space="0" w:color="auto"/>
                    <w:bottom w:val="none" w:sz="0" w:space="0" w:color="auto"/>
                    <w:right w:val="none" w:sz="0" w:space="0" w:color="auto"/>
                  </w:divBdr>
                  <w:divsChild>
                    <w:div w:id="1525285047">
                      <w:marLeft w:val="0"/>
                      <w:marRight w:val="0"/>
                      <w:marTop w:val="0"/>
                      <w:marBottom w:val="900"/>
                      <w:divBdr>
                        <w:top w:val="none" w:sz="0" w:space="0" w:color="auto"/>
                        <w:left w:val="none" w:sz="0" w:space="0" w:color="auto"/>
                        <w:bottom w:val="none" w:sz="0" w:space="0" w:color="auto"/>
                        <w:right w:val="none" w:sz="0" w:space="0" w:color="auto"/>
                      </w:divBdr>
                      <w:divsChild>
                        <w:div w:id="1076440446">
                          <w:marLeft w:val="0"/>
                          <w:marRight w:val="0"/>
                          <w:marTop w:val="0"/>
                          <w:marBottom w:val="0"/>
                          <w:divBdr>
                            <w:top w:val="none" w:sz="0" w:space="0" w:color="auto"/>
                            <w:left w:val="none" w:sz="0" w:space="0" w:color="auto"/>
                            <w:bottom w:val="none" w:sz="0" w:space="0" w:color="auto"/>
                            <w:right w:val="none" w:sz="0" w:space="0" w:color="auto"/>
                          </w:divBdr>
                          <w:divsChild>
                            <w:div w:id="2079862969">
                              <w:marLeft w:val="-315"/>
                              <w:marRight w:val="-315"/>
                              <w:marTop w:val="0"/>
                              <w:marBottom w:val="0"/>
                              <w:divBdr>
                                <w:top w:val="none" w:sz="0" w:space="0" w:color="auto"/>
                                <w:left w:val="none" w:sz="0" w:space="0" w:color="auto"/>
                                <w:bottom w:val="none" w:sz="0" w:space="0" w:color="auto"/>
                                <w:right w:val="none" w:sz="0" w:space="0" w:color="auto"/>
                              </w:divBdr>
                              <w:divsChild>
                                <w:div w:id="353310421">
                                  <w:marLeft w:val="0"/>
                                  <w:marRight w:val="0"/>
                                  <w:marTop w:val="0"/>
                                  <w:marBottom w:val="0"/>
                                  <w:divBdr>
                                    <w:top w:val="none" w:sz="0" w:space="0" w:color="auto"/>
                                    <w:left w:val="none" w:sz="0" w:space="0" w:color="auto"/>
                                    <w:bottom w:val="none" w:sz="0" w:space="0" w:color="auto"/>
                                    <w:right w:val="none" w:sz="0" w:space="0" w:color="auto"/>
                                  </w:divBdr>
                                  <w:divsChild>
                                    <w:div w:id="1434978929">
                                      <w:marLeft w:val="0"/>
                                      <w:marRight w:val="0"/>
                                      <w:marTop w:val="0"/>
                                      <w:marBottom w:val="0"/>
                                      <w:divBdr>
                                        <w:top w:val="none" w:sz="0" w:space="0" w:color="auto"/>
                                        <w:left w:val="none" w:sz="0" w:space="0" w:color="auto"/>
                                        <w:bottom w:val="none" w:sz="0" w:space="0" w:color="auto"/>
                                        <w:right w:val="none" w:sz="0" w:space="0" w:color="auto"/>
                                      </w:divBdr>
                                      <w:divsChild>
                                        <w:div w:id="1173377299">
                                          <w:marLeft w:val="0"/>
                                          <w:marRight w:val="0"/>
                                          <w:marTop w:val="0"/>
                                          <w:marBottom w:val="0"/>
                                          <w:divBdr>
                                            <w:top w:val="none" w:sz="0" w:space="0" w:color="auto"/>
                                            <w:left w:val="none" w:sz="0" w:space="0" w:color="auto"/>
                                            <w:bottom w:val="none" w:sz="0" w:space="0" w:color="auto"/>
                                            <w:right w:val="none" w:sz="0" w:space="0" w:color="auto"/>
                                          </w:divBdr>
                                          <w:divsChild>
                                            <w:div w:id="21444030">
                                              <w:marLeft w:val="0"/>
                                              <w:marRight w:val="0"/>
                                              <w:marTop w:val="0"/>
                                              <w:marBottom w:val="34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2025-06-22T10:39:00Z</dcterms:created>
  <dcterms:modified xsi:type="dcterms:W3CDTF">2025-06-22T10:46:00Z</dcterms:modified>
</cp:coreProperties>
</file>